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089" w:rsidRDefault="00C93089" w:rsidP="00C93089">
      <w:pPr>
        <w:jc w:val="center"/>
        <w:rPr>
          <w:sz w:val="40"/>
          <w:szCs w:val="40"/>
        </w:rPr>
      </w:pPr>
      <w:r>
        <w:rPr>
          <w:sz w:val="40"/>
          <w:szCs w:val="40"/>
        </w:rPr>
        <w:t>Lom svjetlosti</w:t>
      </w:r>
    </w:p>
    <w:p w:rsidR="00C93089" w:rsidRDefault="00C93089" w:rsidP="00C93089">
      <w:pPr>
        <w:rPr>
          <w:sz w:val="24"/>
          <w:szCs w:val="24"/>
        </w:rPr>
      </w:pPr>
    </w:p>
    <w:p w:rsidR="00C93089" w:rsidRPr="00A24064" w:rsidRDefault="00C93089" w:rsidP="00C9308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A24064">
        <w:rPr>
          <w:sz w:val="24"/>
          <w:szCs w:val="24"/>
        </w:rPr>
        <w:t>v</w:t>
      </w:r>
      <w:r>
        <w:rPr>
          <w:sz w:val="24"/>
          <w:szCs w:val="24"/>
        </w:rPr>
        <w:t xml:space="preserve">jetlost </w:t>
      </w:r>
      <w:r w:rsidR="00A24064">
        <w:rPr>
          <w:sz w:val="24"/>
          <w:szCs w:val="24"/>
        </w:rPr>
        <w:t xml:space="preserve">ne </w:t>
      </w:r>
      <w:r>
        <w:rPr>
          <w:sz w:val="24"/>
          <w:szCs w:val="24"/>
        </w:rPr>
        <w:t>može proći kroz zid ili</w:t>
      </w:r>
      <w:r w:rsidR="00A24064">
        <w:rPr>
          <w:sz w:val="24"/>
          <w:szCs w:val="24"/>
        </w:rPr>
        <w:t xml:space="preserve"> drvo, no prolazi kroz vodu, staklo, zrak, ulje  - takva PROZIRNA  sredstva kroz koja svjetlost prolazi zovu se </w:t>
      </w:r>
      <w:r w:rsidR="00A24064">
        <w:rPr>
          <w:b/>
          <w:bCs/>
          <w:sz w:val="24"/>
          <w:szCs w:val="24"/>
        </w:rPr>
        <w:t>OTPIČKA SREDSTVA</w:t>
      </w:r>
    </w:p>
    <w:p w:rsidR="00A24064" w:rsidRDefault="00A24064" w:rsidP="00A2406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Svjetlost je </w:t>
      </w:r>
      <w:proofErr w:type="spellStart"/>
      <w:r>
        <w:rPr>
          <w:sz w:val="24"/>
          <w:szCs w:val="24"/>
        </w:rPr>
        <w:t>nabrža</w:t>
      </w:r>
      <w:proofErr w:type="spellEnd"/>
      <w:r>
        <w:rPr>
          <w:sz w:val="24"/>
          <w:szCs w:val="24"/>
        </w:rPr>
        <w:t xml:space="preserve"> u vakuumu (300 000 km/h), dok je kroz ostala optička sredstva sporija</w:t>
      </w:r>
    </w:p>
    <w:p w:rsidR="00A24064" w:rsidRDefault="00A24064" w:rsidP="00A24064">
      <w:pPr>
        <w:ind w:left="5400"/>
        <w:rPr>
          <w:rFonts w:cstheme="minorHAnsi"/>
          <w:sz w:val="24"/>
          <w:szCs w:val="24"/>
        </w:rPr>
      </w:pPr>
      <w:r w:rsidRPr="00A24064">
        <w:rPr>
          <w:rFonts w:cstheme="minorHAnsi"/>
          <w:sz w:val="24"/>
          <w:szCs w:val="24"/>
        </w:rPr>
        <w:t>↓</w:t>
      </w:r>
    </w:p>
    <w:p w:rsidR="00A24064" w:rsidRDefault="00A24064" w:rsidP="00A24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Svjetlost je sporija zbog svojstava nekog sredstva (vode, stakla,..) , ako zrake svjetlosti više </w:t>
      </w:r>
      <w:proofErr w:type="spellStart"/>
      <w:r>
        <w:rPr>
          <w:rFonts w:cstheme="minorHAnsi"/>
          <w:sz w:val="24"/>
          <w:szCs w:val="24"/>
        </w:rPr>
        <w:t>međudjeluju</w:t>
      </w:r>
      <w:proofErr w:type="spellEnd"/>
      <w:r>
        <w:rPr>
          <w:rFonts w:cstheme="minorHAnsi"/>
          <w:sz w:val="24"/>
          <w:szCs w:val="24"/>
        </w:rPr>
        <w:t xml:space="preserve"> s molekulama sredstva, svjetlost je kroz to sredstvo sporija</w:t>
      </w:r>
    </w:p>
    <w:p w:rsidR="00A24064" w:rsidRDefault="00A24064" w:rsidP="00A24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(molekule „zaustavljaju“ svjetlost)</w:t>
      </w:r>
    </w:p>
    <w:p w:rsidR="00A24064" w:rsidRDefault="00A24064" w:rsidP="00A24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↓</w:t>
      </w:r>
    </w:p>
    <w:p w:rsidR="00A24064" w:rsidRDefault="00A24064" w:rsidP="00A24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Pri prelasku iz jednog sredstva u drugo svjetlost se </w:t>
      </w:r>
      <w:r>
        <w:rPr>
          <w:rFonts w:cstheme="minorHAnsi"/>
          <w:b/>
          <w:bCs/>
          <w:sz w:val="24"/>
          <w:szCs w:val="24"/>
        </w:rPr>
        <w:t>LOMI</w:t>
      </w:r>
      <w:r>
        <w:rPr>
          <w:rFonts w:cstheme="minorHAnsi"/>
          <w:sz w:val="24"/>
          <w:szCs w:val="24"/>
        </w:rPr>
        <w:t xml:space="preserve"> zbog </w:t>
      </w:r>
      <w:r>
        <w:rPr>
          <w:rFonts w:cstheme="minorHAnsi"/>
          <w:b/>
          <w:bCs/>
          <w:sz w:val="24"/>
          <w:szCs w:val="24"/>
        </w:rPr>
        <w:t>PROMJENE BRZINE (</w:t>
      </w:r>
      <w:r>
        <w:rPr>
          <w:rFonts w:cstheme="minorHAnsi"/>
          <w:sz w:val="24"/>
          <w:szCs w:val="24"/>
        </w:rPr>
        <w:t>kao i valovi)</w:t>
      </w:r>
    </w:p>
    <w:p w:rsidR="00A24064" w:rsidRDefault="00A24064" w:rsidP="00A24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PRIMJER</w:t>
      </w:r>
      <w:r>
        <w:rPr>
          <w:rFonts w:cstheme="minorHAnsi"/>
          <w:sz w:val="24"/>
          <w:szCs w:val="24"/>
        </w:rPr>
        <w:t>:</w:t>
      </w:r>
    </w:p>
    <w:p w:rsidR="00A24064" w:rsidRDefault="00A24064" w:rsidP="00A24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čašu stavimo vodu i uronimo slamčicu. </w:t>
      </w:r>
      <w:r w:rsidR="001B0ACD">
        <w:rPr>
          <w:rFonts w:cstheme="minorHAnsi"/>
          <w:sz w:val="24"/>
          <w:szCs w:val="24"/>
        </w:rPr>
        <w:t xml:space="preserve">Pogledom u slamčicu , čini se da je u vodi slomljena. </w:t>
      </w:r>
    </w:p>
    <w:p w:rsidR="001B0ACD" w:rsidRDefault="001B0ACD" w:rsidP="00A240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Slamčica nije slomljena , nego se svjetlost pri prelasku iz zraka u vodu LOMI pa se čini da se slamčica slomila.</w:t>
      </w:r>
    </w:p>
    <w:p w:rsidR="001B0ACD" w:rsidRDefault="001B0ACD" w:rsidP="00A24064">
      <w:pPr>
        <w:rPr>
          <w:rFonts w:cstheme="minorHAnsi"/>
          <w:sz w:val="24"/>
          <w:szCs w:val="24"/>
        </w:rPr>
      </w:pPr>
    </w:p>
    <w:p w:rsidR="001B0ACD" w:rsidRDefault="001B0ACD" w:rsidP="00A24064">
      <w:pPr>
        <w:rPr>
          <w:rFonts w:cstheme="minorHAnsi"/>
          <w:sz w:val="24"/>
          <w:szCs w:val="24"/>
        </w:rPr>
      </w:pPr>
    </w:p>
    <w:p w:rsidR="001B0ACD" w:rsidRPr="001B0ACD" w:rsidRDefault="001B0ACD" w:rsidP="001B0ACD">
      <w:pPr>
        <w:rPr>
          <w:b/>
          <w:bCs/>
          <w:sz w:val="24"/>
          <w:szCs w:val="24"/>
        </w:rPr>
      </w:pPr>
      <w:r w:rsidRPr="001B0ACD">
        <w:rPr>
          <w:b/>
          <w:bCs/>
          <w:sz w:val="24"/>
          <w:szCs w:val="24"/>
        </w:rPr>
        <w:t>1.</w:t>
      </w:r>
    </w:p>
    <w:p w:rsidR="001B0ACD" w:rsidRPr="001B0ACD" w:rsidRDefault="001B0ACD" w:rsidP="001B0AC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B0ACD">
        <w:rPr>
          <w:sz w:val="24"/>
          <w:szCs w:val="24"/>
        </w:rPr>
        <w:t>Promotrimo lom svjetlosti na granici zrak – voda.</w:t>
      </w:r>
    </w:p>
    <w:p w:rsidR="001B0ACD" w:rsidRDefault="001B0ACD" w:rsidP="001B0A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B0ACD">
        <w:rPr>
          <w:sz w:val="24"/>
          <w:szCs w:val="24"/>
        </w:rPr>
        <w:t>Obilježimo upadni kut zrake svjetlosti u odnosu prema okomici sredstava s α, a s ​β</w:t>
      </w:r>
      <w:r>
        <w:rPr>
          <w:sz w:val="24"/>
          <w:szCs w:val="24"/>
        </w:rPr>
        <w:t xml:space="preserve"> </w:t>
      </w:r>
      <w:r w:rsidRPr="001B0ACD">
        <w:rPr>
          <w:sz w:val="24"/>
          <w:szCs w:val="24"/>
        </w:rPr>
        <w:t xml:space="preserve"> kut loma.</w:t>
      </w:r>
    </w:p>
    <w:p w:rsidR="001B0ACD" w:rsidRDefault="001B0ACD" w:rsidP="001B0A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1B0ACD">
        <w:rPr>
          <w:b/>
          <w:bCs/>
          <w:sz w:val="24"/>
          <w:szCs w:val="24"/>
        </w:rPr>
        <w:t>B</w:t>
      </w:r>
      <w:r w:rsidRPr="001B0ACD">
        <w:rPr>
          <w:b/>
          <w:bCs/>
          <w:sz w:val="24"/>
          <w:szCs w:val="24"/>
        </w:rPr>
        <w:t>rzina svjetlosti u zraku veća je od brzine svjetlosti u vodi, zato će se zraka svjetlosti lomiti prema okomici.</w:t>
      </w:r>
    </w:p>
    <w:p w:rsidR="001B0ACD" w:rsidRDefault="001B0ACD" w:rsidP="001B0AC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9330DC" wp14:editId="6FE11F36">
            <wp:extent cx="2752725" cy="2178162"/>
            <wp:effectExtent l="0" t="0" r="0" b="0"/>
            <wp:docPr id="3" name="Slika 3" descr="Zraka svjetlosti lomi se na granici zrak-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raka svjetlosti lomi se na granici zrak-v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02" cy="218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CD" w:rsidRDefault="001B0ACD" w:rsidP="001B0ACD">
      <w:pPr>
        <w:rPr>
          <w:b/>
          <w:bCs/>
          <w:sz w:val="24"/>
          <w:szCs w:val="24"/>
        </w:rPr>
      </w:pPr>
    </w:p>
    <w:p w:rsidR="001B0ACD" w:rsidRDefault="001B0ACD" w:rsidP="001B0A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:rsidR="001B0ACD" w:rsidRDefault="001B0ACD" w:rsidP="001B0ACD">
      <w:pPr>
        <w:rPr>
          <w:sz w:val="24"/>
          <w:szCs w:val="24"/>
        </w:rPr>
      </w:pPr>
      <w:r w:rsidRPr="001B0ACD">
        <w:rPr>
          <w:sz w:val="24"/>
          <w:szCs w:val="24"/>
        </w:rPr>
        <w:t>Promotrimo lom svjetlosti na granici staklo – voda.</w:t>
      </w:r>
    </w:p>
    <w:p w:rsidR="001B0ACD" w:rsidRDefault="001B0ACD" w:rsidP="001B0ACD">
      <w:pPr>
        <w:rPr>
          <w:b/>
          <w:bCs/>
          <w:sz w:val="24"/>
          <w:szCs w:val="24"/>
        </w:rPr>
      </w:pPr>
      <w:r w:rsidRPr="001B0ACD">
        <w:rPr>
          <w:b/>
          <w:bCs/>
          <w:sz w:val="24"/>
          <w:szCs w:val="24"/>
        </w:rPr>
        <w:t>B</w:t>
      </w:r>
      <w:r w:rsidRPr="001B0ACD">
        <w:rPr>
          <w:b/>
          <w:bCs/>
          <w:sz w:val="24"/>
          <w:szCs w:val="24"/>
        </w:rPr>
        <w:t>rzina svjetlosti u staklu manja je od brzine svjetlosti u vodi, zato će se zraka svjetlosti lomiti od okomice.</w:t>
      </w:r>
    </w:p>
    <w:p w:rsidR="001B0ACD" w:rsidRDefault="001B0ACD" w:rsidP="001B0ACD">
      <w:pPr>
        <w:rPr>
          <w:b/>
          <w:bCs/>
          <w:sz w:val="24"/>
          <w:szCs w:val="24"/>
        </w:rPr>
      </w:pPr>
    </w:p>
    <w:p w:rsidR="001B0ACD" w:rsidRDefault="001B0ACD" w:rsidP="001B0ACD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DC15D12" wp14:editId="3C16FB85">
            <wp:extent cx="2838450" cy="2245992"/>
            <wp:effectExtent l="0" t="0" r="0" b="2540"/>
            <wp:docPr id="5" name="Slika 5" descr="Zraka svjetlosti lomi se na granici staklo-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raka svjetlosti lomi se na granici staklo-v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51" cy="226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CD" w:rsidRDefault="001B0ACD" w:rsidP="001B0ACD">
      <w:pPr>
        <w:rPr>
          <w:b/>
          <w:bCs/>
          <w:sz w:val="24"/>
          <w:szCs w:val="24"/>
        </w:rPr>
      </w:pPr>
    </w:p>
    <w:p w:rsidR="001B0ACD" w:rsidRDefault="001B0ACD" w:rsidP="001B0ACD">
      <w:pPr>
        <w:pStyle w:val="StandardWeb"/>
        <w:spacing w:before="0" w:beforeAutospacing="0" w:after="22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Ako </w:t>
      </w:r>
      <w:hyperlink r:id="rId7" w:anchor="svjetlost" w:history="1">
        <w:r>
          <w:rPr>
            <w:rStyle w:val="Hiperveza"/>
            <w:rFonts w:ascii="Open Sans" w:hAnsi="Open Sans"/>
            <w:color w:val="D13F00"/>
            <w:u w:val="none"/>
          </w:rPr>
          <w:t>svjetlost</w:t>
        </w:r>
      </w:hyperlink>
      <w:r>
        <w:rPr>
          <w:rFonts w:ascii="Open Sans" w:hAnsi="Open Sans"/>
          <w:color w:val="333333"/>
        </w:rPr>
        <w:t> prelazi iz optički rjeđeg u optički gušće sredstvo, lomi se prema okomici.</w:t>
      </w:r>
    </w:p>
    <w:p w:rsidR="001B0ACD" w:rsidRDefault="001B0ACD" w:rsidP="001B0ACD">
      <w:pPr>
        <w:pStyle w:val="StandardWeb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Tu je upadni kut 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α</w:t>
      </w:r>
      <w:r>
        <w:rPr>
          <w:rFonts w:ascii="Open Sans" w:hAnsi="Open Sans"/>
          <w:color w:val="333333"/>
        </w:rPr>
        <w:t>veći od kuta loma 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β</w:t>
      </w:r>
      <w:r>
        <w:rPr>
          <w:rStyle w:val="mjx-char"/>
          <w:rFonts w:ascii="MJXc-TeX-main-Rw" w:hAnsi="MJXc-TeX-main-Rw"/>
          <w:color w:val="333333"/>
          <w:sz w:val="29"/>
          <w:szCs w:val="29"/>
          <w:bdr w:val="none" w:sz="0" w:space="0" w:color="auto" w:frame="1"/>
        </w:rPr>
        <w:t>.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α</w:t>
      </w:r>
      <w:r>
        <w:rPr>
          <w:rStyle w:val="mjx-char"/>
          <w:rFonts w:ascii="MJXc-TeX-main-Rw" w:hAnsi="MJXc-TeX-main-Rw"/>
          <w:color w:val="333333"/>
          <w:sz w:val="29"/>
          <w:szCs w:val="29"/>
          <w:bdr w:val="none" w:sz="0" w:space="0" w:color="auto" w:frame="1"/>
        </w:rPr>
        <w:t>&gt;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β</w:t>
      </w:r>
      <w:r>
        <w:rPr>
          <w:rStyle w:val="mjxassistivemathml"/>
          <w:rFonts w:ascii="Open Sans" w:hAnsi="Open Sans"/>
          <w:color w:val="333333"/>
          <w:sz w:val="29"/>
          <w:szCs w:val="29"/>
          <w:bdr w:val="none" w:sz="0" w:space="0" w:color="auto" w:frame="1"/>
        </w:rPr>
        <w:t>α&gt;β</w:t>
      </w:r>
    </w:p>
    <w:p w:rsidR="001B0ACD" w:rsidRDefault="001B0ACD" w:rsidP="001B0ACD">
      <w:pPr>
        <w:pStyle w:val="StandardWeb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Ako </w:t>
      </w:r>
      <w:hyperlink r:id="rId8" w:anchor="svjetlost" w:history="1">
        <w:r>
          <w:rPr>
            <w:rStyle w:val="Hiperveza"/>
            <w:rFonts w:ascii="Open Sans" w:hAnsi="Open Sans"/>
            <w:color w:val="D13F00"/>
            <w:u w:val="none"/>
          </w:rPr>
          <w:t>svjetlost</w:t>
        </w:r>
      </w:hyperlink>
      <w:r>
        <w:rPr>
          <w:rFonts w:ascii="Open Sans" w:hAnsi="Open Sans"/>
          <w:color w:val="333333"/>
        </w:rPr>
        <w:t> prelazi iz optički gušćeg u optički rjeđe sredstvo, lomi se od okomice. Tu je upadni kut 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α</w:t>
      </w:r>
      <w:r>
        <w:rPr>
          <w:rFonts w:ascii="Open Sans" w:hAnsi="Open Sans"/>
          <w:color w:val="333333"/>
        </w:rPr>
        <w:t>manji od kuta loma 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β</w:t>
      </w:r>
      <w:r>
        <w:rPr>
          <w:rStyle w:val="mjx-char"/>
          <w:rFonts w:ascii="MJXc-TeX-main-Rw" w:hAnsi="MJXc-TeX-main-Rw"/>
          <w:color w:val="333333"/>
          <w:sz w:val="29"/>
          <w:szCs w:val="29"/>
          <w:bdr w:val="none" w:sz="0" w:space="0" w:color="auto" w:frame="1"/>
        </w:rPr>
        <w:t>.</w:t>
      </w:r>
      <w:r>
        <w:rPr>
          <w:rFonts w:ascii="Open Sans" w:hAnsi="Open Sans"/>
          <w:color w:val="333333"/>
        </w:rPr>
        <w:t> 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α</w:t>
      </w:r>
      <w:r>
        <w:rPr>
          <w:rStyle w:val="mjx-char"/>
          <w:rFonts w:ascii="MJXc-TeX-main-Rw" w:hAnsi="MJXc-TeX-main-Rw"/>
          <w:color w:val="333333"/>
          <w:sz w:val="29"/>
          <w:szCs w:val="29"/>
          <w:bdr w:val="none" w:sz="0" w:space="0" w:color="auto" w:frame="1"/>
        </w:rPr>
        <w:t>&lt;</w:t>
      </w:r>
      <w:r>
        <w:rPr>
          <w:rStyle w:val="mjx-char"/>
          <w:rFonts w:ascii="MJXc-TeX-math-Iw" w:hAnsi="MJXc-TeX-math-Iw"/>
          <w:color w:val="333333"/>
          <w:sz w:val="29"/>
          <w:szCs w:val="29"/>
          <w:bdr w:val="none" w:sz="0" w:space="0" w:color="auto" w:frame="1"/>
        </w:rPr>
        <w:t>β</w:t>
      </w:r>
    </w:p>
    <w:p w:rsidR="001B0ACD" w:rsidRDefault="001B0ACD" w:rsidP="001B0ACD">
      <w:pPr>
        <w:rPr>
          <w:b/>
          <w:bCs/>
          <w:sz w:val="24"/>
          <w:szCs w:val="24"/>
        </w:rPr>
      </w:pPr>
    </w:p>
    <w:p w:rsidR="001B0ACD" w:rsidRDefault="001B0ACD" w:rsidP="001B0ACD">
      <w:pPr>
        <w:rPr>
          <w:sz w:val="24"/>
          <w:szCs w:val="24"/>
        </w:rPr>
      </w:pPr>
      <w:r>
        <w:rPr>
          <w:sz w:val="24"/>
          <w:szCs w:val="24"/>
        </w:rPr>
        <w:t>Kut loma ovisi o sredstvu odnosno gustoći sredstva</w:t>
      </w:r>
      <w:r w:rsidR="007E53C9">
        <w:rPr>
          <w:sz w:val="24"/>
          <w:szCs w:val="24"/>
        </w:rPr>
        <w:t>.</w:t>
      </w:r>
    </w:p>
    <w:p w:rsidR="007E53C9" w:rsidRDefault="007E53C9" w:rsidP="001B0ACD">
      <w:pPr>
        <w:rPr>
          <w:sz w:val="24"/>
          <w:szCs w:val="24"/>
        </w:rPr>
      </w:pPr>
    </w:p>
    <w:p w:rsidR="007E53C9" w:rsidRDefault="007E53C9" w:rsidP="001B0A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POTPUNA REFLEKSIJA SVJETLOSTI</w:t>
      </w:r>
    </w:p>
    <w:p w:rsidR="007E53C9" w:rsidRDefault="007E53C9" w:rsidP="007E53C9">
      <w:pPr>
        <w:pStyle w:val="StandardWeb"/>
        <w:shd w:val="clear" w:color="auto" w:fill="FFFFFF"/>
        <w:spacing w:before="0" w:beforeAutospacing="0" w:after="22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Pri prelasku svjetlosti iz optički gušćeg u optički rjeđe sredstvo imamo zanimljivu situaciju. Naime, tom prilikom </w:t>
      </w:r>
      <w:r>
        <w:rPr>
          <w:rFonts w:ascii="Open Sans" w:hAnsi="Open Sans"/>
          <w:color w:val="333333"/>
        </w:rPr>
        <w:t>svjetlost</w:t>
      </w:r>
      <w:r>
        <w:rPr>
          <w:rFonts w:ascii="Open Sans" w:hAnsi="Open Sans"/>
          <w:color w:val="333333"/>
        </w:rPr>
        <w:t> dolaskom na granicu odbija, a dijelom lomi. Kako se povećava kut upadne zrake svjetlosti, povećava se i kut loma svjetlosti. </w:t>
      </w:r>
    </w:p>
    <w:p w:rsidR="007E53C9" w:rsidRDefault="007E53C9" w:rsidP="007E53C9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Kut loma ne može biti veći od </w:t>
      </w:r>
      <w:r>
        <w:rPr>
          <w:rStyle w:val="mjx-char"/>
          <w:rFonts w:ascii="MJXc-TeX-main-Rw" w:hAnsi="MJXc-TeX-main-Rw"/>
          <w:color w:val="333333"/>
          <w:sz w:val="29"/>
          <w:szCs w:val="29"/>
          <w:bdr w:val="none" w:sz="0" w:space="0" w:color="auto" w:frame="1"/>
        </w:rPr>
        <w:t>90°,</w:t>
      </w:r>
      <w:r>
        <w:rPr>
          <w:rStyle w:val="mjxassistivemathml"/>
          <w:rFonts w:ascii="Open Sans" w:hAnsi="Open Sans"/>
          <w:color w:val="333333"/>
          <w:sz w:val="29"/>
          <w:szCs w:val="29"/>
          <w:bdr w:val="none" w:sz="0" w:space="0" w:color="auto" w:frame="1"/>
        </w:rPr>
        <w:t>,</w:t>
      </w:r>
      <w:r>
        <w:rPr>
          <w:rFonts w:ascii="Open Sans" w:hAnsi="Open Sans"/>
          <w:color w:val="333333"/>
        </w:rPr>
        <w:t> tada lomljena zraka i ne bi mogla prijeći u drugo sredstvo. Dakle, postoji granični upadni kut. Ako dalje povećavamo vrijednost upadnog kuta</w:t>
      </w:r>
      <w:r>
        <w:rPr>
          <w:rFonts w:ascii="Open Sans" w:hAnsi="Open Sans"/>
          <w:color w:val="333333"/>
        </w:rPr>
        <w:t xml:space="preserve"> svjetlost</w:t>
      </w:r>
      <w:r>
        <w:rPr>
          <w:rFonts w:ascii="Open Sans" w:hAnsi="Open Sans"/>
          <w:color w:val="333333"/>
        </w:rPr>
        <w:t> bi se odbijala na granici sredstava te ne bi prešla jednoga optičkog sredstva u drugo optičko sredstvo.</w:t>
      </w:r>
    </w:p>
    <w:p w:rsidR="007E53C9" w:rsidRDefault="007E53C9" w:rsidP="007E53C9">
      <w:pPr>
        <w:pStyle w:val="StandardWeb"/>
        <w:shd w:val="clear" w:color="auto" w:fill="FFFFFF"/>
        <w:spacing w:before="0" w:beforeAutospacing="0" w:after="22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Taj posebni upadni kut nazivamo </w:t>
      </w:r>
      <w:r>
        <w:rPr>
          <w:rFonts w:ascii="Open Sans" w:hAnsi="Open Sans"/>
          <w:b/>
          <w:bCs/>
          <w:color w:val="333333"/>
        </w:rPr>
        <w:t>granični kut potpune refleksije</w:t>
      </w:r>
      <w:r>
        <w:rPr>
          <w:rFonts w:ascii="Open Sans" w:hAnsi="Open Sans"/>
          <w:color w:val="333333"/>
        </w:rPr>
        <w:t>, a pojavu </w:t>
      </w:r>
      <w:r>
        <w:rPr>
          <w:rFonts w:ascii="Open Sans" w:hAnsi="Open Sans"/>
          <w:b/>
          <w:bCs/>
          <w:color w:val="333333"/>
        </w:rPr>
        <w:t>potpuna</w:t>
      </w:r>
      <w:r>
        <w:rPr>
          <w:rFonts w:ascii="Open Sans" w:hAnsi="Open Sans"/>
          <w:color w:val="333333"/>
        </w:rPr>
        <w:t> ili </w:t>
      </w:r>
      <w:r>
        <w:rPr>
          <w:rFonts w:ascii="Open Sans" w:hAnsi="Open Sans"/>
          <w:b/>
          <w:bCs/>
          <w:color w:val="333333"/>
        </w:rPr>
        <w:t>totalna refleksija svjetlosti</w:t>
      </w:r>
      <w:r>
        <w:rPr>
          <w:rFonts w:ascii="Open Sans" w:hAnsi="Open Sans"/>
          <w:color w:val="333333"/>
        </w:rPr>
        <w:t>.</w:t>
      </w:r>
    </w:p>
    <w:p w:rsidR="009B64BF" w:rsidRDefault="009B64BF" w:rsidP="007E53C9">
      <w:pPr>
        <w:pStyle w:val="StandardWeb"/>
        <w:shd w:val="clear" w:color="auto" w:fill="FFFFFF"/>
        <w:spacing w:before="0" w:beforeAutospacing="0" w:after="225" w:afterAutospacing="0"/>
        <w:rPr>
          <w:rFonts w:ascii="Open Sans" w:hAnsi="Open Sans"/>
          <w:color w:val="333333"/>
        </w:rPr>
      </w:pPr>
    </w:p>
    <w:p w:rsidR="009B64BF" w:rsidRDefault="009B64BF" w:rsidP="007E53C9">
      <w:pPr>
        <w:pStyle w:val="StandardWeb"/>
        <w:shd w:val="clear" w:color="auto" w:fill="FFFFFF"/>
        <w:spacing w:before="0" w:beforeAutospacing="0" w:after="22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(MOLIM POGLEDATI VIDEO ZA TOTALNU REFL</w:t>
      </w:r>
      <w:r w:rsidR="00C65D39">
        <w:rPr>
          <w:rFonts w:ascii="Open Sans" w:hAnsi="Open Sans"/>
          <w:color w:val="333333"/>
        </w:rPr>
        <w:t>EK</w:t>
      </w:r>
      <w:r>
        <w:rPr>
          <w:rFonts w:ascii="Open Sans" w:hAnsi="Open Sans"/>
          <w:color w:val="333333"/>
        </w:rPr>
        <w:t>SIJU SVJETLOSTI</w:t>
      </w:r>
      <w:r w:rsidR="00C65D39">
        <w:rPr>
          <w:rFonts w:ascii="Open Sans" w:hAnsi="Open Sans"/>
          <w:color w:val="333333"/>
        </w:rPr>
        <w:t xml:space="preserve"> NA EDUTORIJU</w:t>
      </w:r>
      <w:r>
        <w:rPr>
          <w:rFonts w:ascii="Open Sans" w:hAnsi="Open Sans"/>
          <w:color w:val="333333"/>
        </w:rPr>
        <w:t>, BITI ĆE JASNIJE!!!!!!)</w:t>
      </w:r>
    </w:p>
    <w:p w:rsidR="007E53C9" w:rsidRPr="007E53C9" w:rsidRDefault="007E53C9" w:rsidP="001B0ACD">
      <w:pPr>
        <w:rPr>
          <w:sz w:val="24"/>
          <w:szCs w:val="24"/>
          <w:u w:val="single"/>
        </w:rPr>
      </w:pPr>
    </w:p>
    <w:p w:rsidR="001B0ACD" w:rsidRPr="001B0ACD" w:rsidRDefault="001B0ACD" w:rsidP="001B0ACD">
      <w:pPr>
        <w:rPr>
          <w:b/>
          <w:bCs/>
          <w:sz w:val="24"/>
          <w:szCs w:val="24"/>
        </w:rPr>
      </w:pPr>
    </w:p>
    <w:p w:rsidR="001B0ACD" w:rsidRDefault="001B0ACD" w:rsidP="001B0ACD">
      <w:pPr>
        <w:rPr>
          <w:b/>
          <w:bCs/>
          <w:sz w:val="24"/>
          <w:szCs w:val="24"/>
        </w:rPr>
      </w:pPr>
    </w:p>
    <w:p w:rsidR="001B0ACD" w:rsidRDefault="001B0ACD" w:rsidP="001B0ACD">
      <w:pPr>
        <w:rPr>
          <w:b/>
          <w:bCs/>
          <w:sz w:val="24"/>
          <w:szCs w:val="24"/>
        </w:rPr>
      </w:pPr>
    </w:p>
    <w:p w:rsidR="001B0ACD" w:rsidRPr="001B0ACD" w:rsidRDefault="001B0ACD" w:rsidP="001B0ACD">
      <w:pPr>
        <w:rPr>
          <w:b/>
          <w:bCs/>
          <w:sz w:val="24"/>
          <w:szCs w:val="24"/>
        </w:rPr>
      </w:pPr>
    </w:p>
    <w:p w:rsidR="001B0ACD" w:rsidRPr="00A24064" w:rsidRDefault="001B0ACD" w:rsidP="00A24064">
      <w:pPr>
        <w:rPr>
          <w:sz w:val="24"/>
          <w:szCs w:val="24"/>
        </w:rPr>
      </w:pPr>
    </w:p>
    <w:sectPr w:rsidR="001B0ACD" w:rsidRPr="00A2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MJXc-TeX-main-R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528DE"/>
    <w:multiLevelType w:val="hybridMultilevel"/>
    <w:tmpl w:val="4EFA2C56"/>
    <w:lvl w:ilvl="0" w:tplc="27EAA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89"/>
    <w:rsid w:val="001B0ACD"/>
    <w:rsid w:val="00534EB7"/>
    <w:rsid w:val="007E53C9"/>
    <w:rsid w:val="009B64BF"/>
    <w:rsid w:val="00A24064"/>
    <w:rsid w:val="00C65D39"/>
    <w:rsid w:val="00C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1932"/>
  <w15:chartTrackingRefBased/>
  <w15:docId w15:val="{F9DA4E3A-B416-4F3B-AEF9-8D36EA9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08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B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B0ACD"/>
    <w:rPr>
      <w:color w:val="0000FF"/>
      <w:u w:val="single"/>
    </w:rPr>
  </w:style>
  <w:style w:type="character" w:customStyle="1" w:styleId="mjx-char">
    <w:name w:val="mjx-char"/>
    <w:basedOn w:val="Zadanifontodlomka"/>
    <w:rsid w:val="001B0ACD"/>
  </w:style>
  <w:style w:type="character" w:customStyle="1" w:styleId="mjxassistivemathml">
    <w:name w:val="mjx_assistive_mathml"/>
    <w:basedOn w:val="Zadanifontodlomka"/>
    <w:rsid w:val="001B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a743968a-901e-4aa4-9117-d7d5dedac0d5/html/pojmovn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torij.e-skole.hr/share/proxy/alfresco-noauth/edutorij/api/proxy-guest/a743968a-901e-4aa4-9117-d7d5dedac0d5/html/pojmov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3</cp:revision>
  <dcterms:created xsi:type="dcterms:W3CDTF">2020-06-01T06:15:00Z</dcterms:created>
  <dcterms:modified xsi:type="dcterms:W3CDTF">2020-06-01T07:04:00Z</dcterms:modified>
</cp:coreProperties>
</file>